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16829" w:rsidRDefault="00000000">
      <w:pPr>
        <w:jc w:val="center"/>
        <w:rPr>
          <w:sz w:val="24"/>
        </w:rPr>
      </w:pPr>
      <w:r>
        <w:rPr>
          <w:sz w:val="24"/>
        </w:rPr>
        <w:t>サンプルフォーマット</w:t>
      </w:r>
      <w:r>
        <w:rPr>
          <w:sz w:val="24"/>
        </w:rPr>
        <w:t>(</w:t>
      </w:r>
      <w:r>
        <w:rPr>
          <w:sz w:val="24"/>
        </w:rPr>
        <w:t>日本語の標題を記入する</w:t>
      </w:r>
      <w:r>
        <w:rPr>
          <w:sz w:val="24"/>
        </w:rPr>
        <w:t>, &lt;12pt&gt;)</w:t>
      </w:r>
    </w:p>
    <w:p w14:paraId="00000002" w14:textId="77777777" w:rsidR="00C16829" w:rsidRDefault="00000000">
      <w:pPr>
        <w:jc w:val="center"/>
        <w:rPr>
          <w:sz w:val="22"/>
          <w:szCs w:val="22"/>
        </w:rPr>
      </w:pPr>
      <w:r>
        <w:rPr>
          <w:sz w:val="22"/>
          <w:szCs w:val="22"/>
        </w:rPr>
        <w:t>－副題が必要な場合には記入</w:t>
      </w:r>
      <w:r>
        <w:rPr>
          <w:sz w:val="22"/>
          <w:szCs w:val="22"/>
        </w:rPr>
        <w:t>&lt;11pt&gt;</w:t>
      </w:r>
      <w:r>
        <w:rPr>
          <w:sz w:val="22"/>
          <w:szCs w:val="22"/>
        </w:rPr>
        <w:t>－</w:t>
      </w:r>
    </w:p>
    <w:p w14:paraId="00000003" w14:textId="77777777" w:rsidR="00C16829" w:rsidRDefault="00000000">
      <w:pPr>
        <w:jc w:val="right"/>
      </w:pPr>
      <w:r>
        <w:t xml:space="preserve">                 </w:t>
      </w:r>
      <w:r>
        <w:t xml:space="preserve">　　　　　　　　　　　　　　　　　　　　　　　　　　　</w:t>
      </w:r>
      <w:r>
        <w:t xml:space="preserve"> &lt;10.0pt&gt;</w:t>
      </w:r>
      <w:r>
        <w:rPr>
          <w:rFonts w:ascii="ＭＳ ゴシック" w:eastAsia="ＭＳ ゴシック" w:hAnsi="ＭＳ ゴシック" w:cs="ＭＳ ゴシック"/>
          <w:sz w:val="24"/>
        </w:rPr>
        <w:t xml:space="preserve"> </w:t>
      </w:r>
      <w:r>
        <w:t xml:space="preserve">   </w:t>
      </w:r>
      <w:r>
        <w:rPr>
          <w:rFonts w:ascii="ＭＳ ゴシック" w:eastAsia="ＭＳ ゴシック" w:hAnsi="ＭＳ ゴシック" w:cs="ＭＳ ゴシック"/>
        </w:rPr>
        <w:t>法と経済学　太郎</w:t>
      </w:r>
      <w:r>
        <w:rPr>
          <w:rFonts w:ascii="ＭＳ ゴシック" w:eastAsia="ＭＳ ゴシック" w:hAnsi="ＭＳ ゴシック" w:cs="ＭＳ ゴシック"/>
          <w:sz w:val="24"/>
        </w:rPr>
        <w:t xml:space="preserve">　　　　　　　　　　　　　　　　</w:t>
      </w:r>
      <w:r>
        <w:rPr>
          <w:rFonts w:ascii="ＭＳ ゴシック" w:eastAsia="ＭＳ ゴシック" w:hAnsi="ＭＳ ゴシック" w:cs="ＭＳ ゴシック"/>
        </w:rPr>
        <w:t xml:space="preserve">     　　　　　　　　　　</w:t>
      </w:r>
      <w:r>
        <w:t>法経大学法と経済学部</w:t>
      </w:r>
    </w:p>
    <w:p w14:paraId="00000004" w14:textId="77777777" w:rsidR="00C16829" w:rsidRDefault="00C16829"/>
    <w:p w14:paraId="00000005" w14:textId="77777777" w:rsidR="00C16829" w:rsidRDefault="00000000">
      <w:r>
        <w:t>要旨</w:t>
      </w:r>
    </w:p>
    <w:p w14:paraId="00000006" w14:textId="77777777" w:rsidR="00C16829" w:rsidRDefault="00C16829"/>
    <w:p w14:paraId="00000007" w14:textId="77777777" w:rsidR="00C16829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要旨は</w:t>
      </w:r>
      <w:r>
        <w:rPr>
          <w:sz w:val="18"/>
          <w:szCs w:val="18"/>
        </w:rPr>
        <w:t xml:space="preserve">9.0 </w:t>
      </w:r>
      <w:r>
        <w:rPr>
          <w:sz w:val="18"/>
          <w:szCs w:val="18"/>
        </w:rPr>
        <w:t>ポイントで記述する．そのあと，行を変え，キーワードを書く．キーワードは５語まで，三行以上にまたがらないこと．すべての見出しは</w:t>
      </w:r>
      <w:r>
        <w:rPr>
          <w:sz w:val="18"/>
          <w:szCs w:val="18"/>
        </w:rPr>
        <w:t>MS</w:t>
      </w:r>
      <w:r>
        <w:rPr>
          <w:sz w:val="18"/>
          <w:szCs w:val="18"/>
        </w:rPr>
        <w:t>ゴチックを用い，本文は</w:t>
      </w:r>
      <w:r>
        <w:rPr>
          <w:sz w:val="18"/>
          <w:szCs w:val="18"/>
        </w:rPr>
        <w:t>MS</w:t>
      </w:r>
      <w:r>
        <w:rPr>
          <w:sz w:val="18"/>
          <w:szCs w:val="18"/>
        </w:rPr>
        <w:t>明朝を用いること．</w:t>
      </w:r>
    </w:p>
    <w:p w14:paraId="00000008" w14:textId="77777777" w:rsidR="00C16829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キーワード：ひとつ、ふたつ、みっつ</w:t>
      </w:r>
    </w:p>
    <w:p w14:paraId="00000009" w14:textId="77777777" w:rsidR="00C16829" w:rsidRDefault="00C16829"/>
    <w:p w14:paraId="0000000A" w14:textId="77777777" w:rsidR="00C16829" w:rsidRDefault="00C16829"/>
    <w:p w14:paraId="0000000B" w14:textId="77777777" w:rsidR="00C16829" w:rsidRDefault="00C16829"/>
    <w:p w14:paraId="0000000C" w14:textId="77777777" w:rsidR="00C16829" w:rsidRDefault="00C16829"/>
    <w:p w14:paraId="0000000D" w14:textId="77777777" w:rsidR="00C16829" w:rsidRDefault="00000000">
      <w:pPr>
        <w:rPr>
          <w:b/>
        </w:rPr>
      </w:pPr>
      <w:r>
        <w:rPr>
          <w:b/>
        </w:rPr>
        <w:t xml:space="preserve">1. </w:t>
      </w:r>
      <w:r>
        <w:rPr>
          <w:b/>
        </w:rPr>
        <w:t>文字について</w:t>
      </w:r>
      <w:r>
        <w:rPr>
          <w:b/>
        </w:rPr>
        <w:t xml:space="preserve"> </w:t>
      </w:r>
      <w:r>
        <w:t xml:space="preserve">&lt;10.0pt </w:t>
      </w:r>
      <w:r>
        <w:t>以下同じ</w:t>
      </w:r>
      <w:r>
        <w:t>&gt;</w:t>
      </w:r>
    </w:p>
    <w:p w14:paraId="0000000E" w14:textId="77777777" w:rsidR="00C16829" w:rsidRDefault="00000000">
      <w:r>
        <w:t xml:space="preserve">  </w:t>
      </w:r>
      <w:r>
        <w:t>本文は</w:t>
      </w:r>
      <w:r>
        <w:t>MS</w:t>
      </w:r>
      <w:r>
        <w:t>明朝を用いて書く．丸や点の代わりにピリオド，コンマを用いる．フォントサイズは</w:t>
      </w:r>
      <w:r>
        <w:t xml:space="preserve">10.0 </w:t>
      </w:r>
      <w:r>
        <w:t>ポイント．各節，各項の前は一行あける．すべてのアルファベットおよび数字は</w:t>
      </w:r>
      <w:r>
        <w:t xml:space="preserve"> Times New Roman </w:t>
      </w:r>
      <w:r>
        <w:t>体（半角）とし，どうしても必要な場合以外は全角文字は使わない．日本文字は，</w:t>
      </w:r>
      <w:r>
        <w:t>MS</w:t>
      </w:r>
      <w:r>
        <w:t>明朝，見出しは，</w:t>
      </w:r>
      <w:r>
        <w:t>MS</w:t>
      </w:r>
      <w:r>
        <w:t>ゴチック，ボールド体，見出しの数字は</w:t>
      </w:r>
      <w:r>
        <w:t xml:space="preserve"> Times New Roman</w:t>
      </w:r>
      <w:r>
        <w:t>，ボールド体とする．</w:t>
      </w:r>
    </w:p>
    <w:p w14:paraId="0000000F" w14:textId="77777777" w:rsidR="00C16829" w:rsidRDefault="00C16829"/>
    <w:p w14:paraId="00000010" w14:textId="77777777" w:rsidR="00C16829" w:rsidRDefault="00C16829"/>
    <w:p w14:paraId="00000011" w14:textId="77777777" w:rsidR="00C16829" w:rsidRDefault="00C16829"/>
    <w:p w14:paraId="00000012" w14:textId="77777777" w:rsidR="00C16829" w:rsidRDefault="00000000">
      <w:pPr>
        <w:rPr>
          <w:b/>
        </w:rPr>
      </w:pPr>
      <w:r>
        <w:rPr>
          <w:b/>
        </w:rPr>
        <w:t xml:space="preserve">1.1 </w:t>
      </w:r>
      <w:r>
        <w:rPr>
          <w:b/>
        </w:rPr>
        <w:t>脚注について</w:t>
      </w:r>
    </w:p>
    <w:p w14:paraId="00000013" w14:textId="77777777" w:rsidR="00C16829" w:rsidRDefault="00000000">
      <w:pPr>
        <w:ind w:firstLine="210"/>
      </w:pPr>
      <w:r>
        <w:t>脚注は、このように記入する</w:t>
      </w:r>
      <w:r>
        <w:t>.</w:t>
      </w:r>
      <w:r>
        <w:rPr>
          <w:vertAlign w:val="superscript"/>
        </w:rPr>
        <w:footnoteReference w:id="1"/>
      </w:r>
      <w:r>
        <w:t xml:space="preserve"> </w:t>
      </w:r>
      <w:r>
        <w:t>脚注では参考文献の詳細を記さず，最後にリストを作ること</w:t>
      </w:r>
      <w:r>
        <w:t>.</w:t>
      </w:r>
      <w:r>
        <w:rPr>
          <w:vertAlign w:val="superscript"/>
        </w:rPr>
        <w:footnoteReference w:id="2"/>
      </w:r>
      <w:r>
        <w:rPr>
          <w:vertAlign w:val="subscript"/>
        </w:rPr>
        <w:t xml:space="preserve"> </w:t>
      </w:r>
      <w:r>
        <w:t>参考文献は，たとえば，</w:t>
      </w:r>
      <w:r>
        <w:t>Coase (1988)</w:t>
      </w:r>
      <w:r>
        <w:t>，または，浜田</w:t>
      </w:r>
      <w:r>
        <w:t xml:space="preserve"> (1977) </w:t>
      </w:r>
      <w:r>
        <w:t>のように，記す．文字と括弧の間は半角スペースを取ること．</w:t>
      </w:r>
      <w:r>
        <w:t xml:space="preserve"> </w:t>
      </w:r>
    </w:p>
    <w:p w14:paraId="00000014" w14:textId="77777777" w:rsidR="00C16829" w:rsidRDefault="00C16829">
      <w:pPr>
        <w:rPr>
          <w:b/>
        </w:rPr>
      </w:pPr>
    </w:p>
    <w:p w14:paraId="00000015" w14:textId="77777777" w:rsidR="00C16829" w:rsidRDefault="00C16829">
      <w:pPr>
        <w:rPr>
          <w:b/>
        </w:rPr>
      </w:pPr>
    </w:p>
    <w:p w14:paraId="00000016" w14:textId="77777777" w:rsidR="00C16829" w:rsidRDefault="00C16829">
      <w:pPr>
        <w:rPr>
          <w:b/>
        </w:rPr>
      </w:pPr>
    </w:p>
    <w:p w14:paraId="00000017" w14:textId="77777777" w:rsidR="00C16829" w:rsidRDefault="00C16829">
      <w:pPr>
        <w:rPr>
          <w:b/>
        </w:rPr>
      </w:pPr>
    </w:p>
    <w:p w14:paraId="00000018" w14:textId="77777777" w:rsidR="00C16829" w:rsidRDefault="00C16829">
      <w:pPr>
        <w:rPr>
          <w:b/>
        </w:rPr>
      </w:pPr>
    </w:p>
    <w:p w14:paraId="00000019" w14:textId="77777777" w:rsidR="00C16829" w:rsidRDefault="00C16829">
      <w:pPr>
        <w:rPr>
          <w:b/>
        </w:rPr>
      </w:pPr>
    </w:p>
    <w:p w14:paraId="0000001A" w14:textId="77777777" w:rsidR="00C16829" w:rsidRDefault="00C16829">
      <w:pPr>
        <w:rPr>
          <w:b/>
        </w:rPr>
      </w:pPr>
    </w:p>
    <w:p w14:paraId="0000001B" w14:textId="77777777" w:rsidR="00C16829" w:rsidRDefault="00C16829">
      <w:pPr>
        <w:rPr>
          <w:b/>
        </w:rPr>
      </w:pPr>
    </w:p>
    <w:p w14:paraId="0000001C" w14:textId="77777777" w:rsidR="00C16829" w:rsidRDefault="00000000">
      <w:pPr>
        <w:rPr>
          <w:rFonts w:ascii="ＭＳ ゴシック" w:eastAsia="ＭＳ ゴシック" w:hAnsi="ＭＳ ゴシック" w:cs="ＭＳ ゴシック"/>
          <w:b/>
        </w:rPr>
      </w:pPr>
      <w:r>
        <w:rPr>
          <w:b/>
        </w:rPr>
        <w:t>2.</w:t>
      </w:r>
      <w:r>
        <w:rPr>
          <w:rFonts w:ascii="ＭＳ ゴシック" w:eastAsia="ＭＳ ゴシック" w:hAnsi="ＭＳ ゴシック" w:cs="ＭＳ ゴシック"/>
          <w:b/>
        </w:rPr>
        <w:t xml:space="preserve"> 次に</w:t>
      </w:r>
    </w:p>
    <w:p w14:paraId="0000001D" w14:textId="77777777" w:rsidR="00C16829" w:rsidRDefault="00000000">
      <w:r>
        <w:t xml:space="preserve">  </w:t>
      </w:r>
      <w:r>
        <w:t>文章はできるだけ平易にし，過度な数学的展開はさけ，文章による説明にこころがけること．</w:t>
      </w:r>
      <w:r>
        <w:t>……</w:t>
      </w:r>
    </w:p>
    <w:p w14:paraId="0000001E" w14:textId="77777777" w:rsidR="00C16829" w:rsidRDefault="00000000">
      <w:r>
        <w:t>……</w:t>
      </w:r>
    </w:p>
    <w:p w14:paraId="0000001F" w14:textId="77777777" w:rsidR="00C16829" w:rsidRDefault="00000000">
      <w:r>
        <w:t>……</w:t>
      </w:r>
    </w:p>
    <w:p w14:paraId="00000020" w14:textId="77777777" w:rsidR="00C16829" w:rsidRDefault="00000000">
      <w:pPr>
        <w:rPr>
          <w:rFonts w:ascii="ＭＳ ゴシック" w:eastAsia="ＭＳ ゴシック" w:hAnsi="ＭＳ ゴシック" w:cs="ＭＳ ゴシック"/>
        </w:rPr>
      </w:pPr>
      <w:r>
        <w:t>……</w:t>
      </w:r>
    </w:p>
    <w:p w14:paraId="00000021" w14:textId="77777777" w:rsidR="00C16829" w:rsidRDefault="00000000">
      <w:r>
        <w:t>……</w:t>
      </w:r>
    </w:p>
    <w:p w14:paraId="00000022" w14:textId="77777777" w:rsidR="00C16829" w:rsidRDefault="00C16829">
      <w:pPr>
        <w:rPr>
          <w:rFonts w:ascii="ＭＳ ゴシック" w:eastAsia="ＭＳ ゴシック" w:hAnsi="ＭＳ ゴシック" w:cs="ＭＳ ゴシック"/>
        </w:rPr>
      </w:pPr>
      <w:bookmarkStart w:id="0" w:name="_heading=h.gjdgxs" w:colFirst="0" w:colLast="0"/>
      <w:bookmarkEnd w:id="0"/>
    </w:p>
    <w:p w14:paraId="00000023" w14:textId="77777777" w:rsidR="00C16829" w:rsidRDefault="00C16829">
      <w:pPr>
        <w:rPr>
          <w:b/>
        </w:rPr>
      </w:pPr>
    </w:p>
    <w:p w14:paraId="00000024" w14:textId="77777777" w:rsidR="00C16829" w:rsidRDefault="00000000">
      <w:pPr>
        <w:rPr>
          <w:rFonts w:ascii="ＭＳ ゴシック" w:eastAsia="ＭＳ ゴシック" w:hAnsi="ＭＳ ゴシック" w:cs="ＭＳ ゴシック"/>
          <w:b/>
        </w:rPr>
      </w:pPr>
      <w:r>
        <w:rPr>
          <w:b/>
        </w:rPr>
        <w:t>3.</w:t>
      </w:r>
      <w:r>
        <w:rPr>
          <w:rFonts w:ascii="ＭＳ ゴシック" w:eastAsia="ＭＳ ゴシック" w:hAnsi="ＭＳ ゴシック" w:cs="ＭＳ ゴシック"/>
          <w:b/>
        </w:rPr>
        <w:t xml:space="preserve"> その次に</w:t>
      </w:r>
    </w:p>
    <w:p w14:paraId="00000025" w14:textId="77777777" w:rsidR="00C16829" w:rsidRDefault="00000000">
      <w:r>
        <w:t>……</w:t>
      </w:r>
    </w:p>
    <w:p w14:paraId="00000026" w14:textId="77777777" w:rsidR="00C16829" w:rsidRDefault="00000000">
      <w:r>
        <w:t>……</w:t>
      </w:r>
    </w:p>
    <w:p w14:paraId="00000027" w14:textId="77777777" w:rsidR="00C16829" w:rsidRDefault="00000000">
      <w:r>
        <w:t>……</w:t>
      </w:r>
    </w:p>
    <w:p w14:paraId="00000028" w14:textId="77777777" w:rsidR="00C16829" w:rsidRDefault="00000000">
      <w:r>
        <w:t>……</w:t>
      </w:r>
    </w:p>
    <w:p w14:paraId="00000029" w14:textId="77777777" w:rsidR="00C16829" w:rsidRDefault="00000000">
      <w:r>
        <w:t>……</w:t>
      </w:r>
    </w:p>
    <w:p w14:paraId="0000002A" w14:textId="77777777" w:rsidR="00C16829" w:rsidRDefault="00000000">
      <w:pPr>
        <w:rPr>
          <w:rFonts w:ascii="ＭＳ ゴシック" w:eastAsia="ＭＳ ゴシック" w:hAnsi="ＭＳ ゴシック" w:cs="ＭＳ ゴシック"/>
        </w:rPr>
      </w:pPr>
      <w:r>
        <w:t>……</w:t>
      </w:r>
    </w:p>
    <w:p w14:paraId="0000002B" w14:textId="77777777" w:rsidR="00C16829" w:rsidRDefault="00C16829">
      <w:pPr>
        <w:rPr>
          <w:rFonts w:ascii="ＭＳ ゴシック" w:eastAsia="ＭＳ ゴシック" w:hAnsi="ＭＳ ゴシック" w:cs="ＭＳ ゴシック"/>
        </w:rPr>
      </w:pPr>
    </w:p>
    <w:p w14:paraId="0000002C" w14:textId="77777777" w:rsidR="00C16829" w:rsidRDefault="00C16829">
      <w:pPr>
        <w:rPr>
          <w:rFonts w:ascii="ＭＳ ゴシック" w:eastAsia="ＭＳ ゴシック" w:hAnsi="ＭＳ ゴシック" w:cs="ＭＳ ゴシック"/>
        </w:rPr>
      </w:pPr>
    </w:p>
    <w:p w14:paraId="0000002D" w14:textId="77777777" w:rsidR="00C16829" w:rsidRDefault="00000000">
      <w:pPr>
        <w:rPr>
          <w:b/>
        </w:rPr>
      </w:pPr>
      <w:r>
        <w:rPr>
          <w:b/>
        </w:rPr>
        <w:t>4.</w:t>
      </w:r>
      <w:r>
        <w:rPr>
          <w:rFonts w:ascii="ＭＳ ゴシック" w:eastAsia="ＭＳ ゴシック" w:hAnsi="ＭＳ ゴシック" w:cs="ＭＳ ゴシック"/>
          <w:b/>
        </w:rPr>
        <w:t xml:space="preserve"> おわりに</w:t>
      </w:r>
    </w:p>
    <w:p w14:paraId="0000002E" w14:textId="77777777" w:rsidR="00C16829" w:rsidRDefault="00000000">
      <w:r>
        <w:t>……</w:t>
      </w:r>
    </w:p>
    <w:p w14:paraId="0000002F" w14:textId="77777777" w:rsidR="00C16829" w:rsidRDefault="00000000">
      <w:r>
        <w:lastRenderedPageBreak/>
        <w:t>……</w:t>
      </w:r>
    </w:p>
    <w:p w14:paraId="00000030" w14:textId="77777777" w:rsidR="00C16829" w:rsidRDefault="00000000">
      <w:r>
        <w:t>……</w:t>
      </w:r>
    </w:p>
    <w:p w14:paraId="00000031" w14:textId="77777777" w:rsidR="00C16829" w:rsidRDefault="00000000">
      <w:r>
        <w:t>……</w:t>
      </w:r>
    </w:p>
    <w:p w14:paraId="00000032" w14:textId="77777777" w:rsidR="00C16829" w:rsidRDefault="00000000">
      <w:r>
        <w:t>……</w:t>
      </w:r>
    </w:p>
    <w:p w14:paraId="00000033" w14:textId="77777777" w:rsidR="00C16829" w:rsidRDefault="00C16829">
      <w:pPr>
        <w:rPr>
          <w:rFonts w:ascii="ＭＳ ゴシック" w:eastAsia="ＭＳ ゴシック" w:hAnsi="ＭＳ ゴシック" w:cs="ＭＳ ゴシック"/>
        </w:rPr>
      </w:pPr>
    </w:p>
    <w:p w14:paraId="00000034" w14:textId="77777777" w:rsidR="00C16829" w:rsidRDefault="00C16829">
      <w:pPr>
        <w:rPr>
          <w:rFonts w:ascii="ＭＳ ゴシック" w:eastAsia="ＭＳ ゴシック" w:hAnsi="ＭＳ ゴシック" w:cs="ＭＳ ゴシック"/>
        </w:rPr>
      </w:pPr>
    </w:p>
    <w:p w14:paraId="00000035" w14:textId="77777777" w:rsidR="00C16829" w:rsidRDefault="00000000">
      <w:pPr>
        <w:ind w:left="211" w:hanging="211"/>
        <w:rPr>
          <w:b/>
        </w:rPr>
      </w:pPr>
      <w:r>
        <w:rPr>
          <w:b/>
        </w:rPr>
        <w:t>判例</w:t>
      </w:r>
    </w:p>
    <w:p w14:paraId="00000036" w14:textId="77777777" w:rsidR="00C16829" w:rsidRDefault="00C16829">
      <w:pPr>
        <w:ind w:left="210" w:hanging="210"/>
      </w:pPr>
    </w:p>
    <w:p w14:paraId="00000037" w14:textId="77777777" w:rsidR="00C16829" w:rsidRDefault="00000000">
      <w:r>
        <w:t>最大判昭</w:t>
      </w:r>
      <w:r>
        <w:t>56</w:t>
      </w:r>
      <w:r>
        <w:t>・</w:t>
      </w:r>
      <w:r>
        <w:t>12</w:t>
      </w:r>
      <w:r>
        <w:t>・</w:t>
      </w:r>
      <w:r>
        <w:t>16</w:t>
      </w:r>
      <w:r>
        <w:t>民集</w:t>
      </w:r>
      <w:r>
        <w:t>35-10-1369 ( 1981)</w:t>
      </w:r>
      <w:r>
        <w:t>．</w:t>
      </w:r>
    </w:p>
    <w:p w14:paraId="00000038" w14:textId="77777777" w:rsidR="00C16829" w:rsidRDefault="00000000">
      <w:r>
        <w:t>最判平</w:t>
      </w:r>
      <w:r>
        <w:t>6</w:t>
      </w:r>
      <w:r>
        <w:t>・</w:t>
      </w:r>
      <w:r>
        <w:t>1</w:t>
      </w:r>
      <w:r>
        <w:t>・</w:t>
      </w:r>
      <w:r>
        <w:t>20</w:t>
      </w:r>
      <w:r>
        <w:t>判時</w:t>
      </w:r>
      <w:r>
        <w:t>1502-98 ( 1994)</w:t>
      </w:r>
      <w:r>
        <w:t>．</w:t>
      </w:r>
    </w:p>
    <w:p w14:paraId="00000039" w14:textId="77777777" w:rsidR="00C16829" w:rsidRDefault="00000000">
      <w:r>
        <w:t>札幌高判昭</w:t>
      </w:r>
      <w:r>
        <w:t>51</w:t>
      </w:r>
      <w:r>
        <w:t>・</w:t>
      </w:r>
      <w:r>
        <w:t>8</w:t>
      </w:r>
      <w:r>
        <w:t>・</w:t>
      </w:r>
      <w:r>
        <w:t>5</w:t>
      </w:r>
      <w:r>
        <w:t>行例集</w:t>
      </w:r>
      <w:r>
        <w:t>27-8-1175 ( 1976)</w:t>
      </w:r>
      <w:r>
        <w:t>．</w:t>
      </w:r>
    </w:p>
    <w:p w14:paraId="0000003A" w14:textId="77777777" w:rsidR="00C16829" w:rsidRDefault="00000000">
      <w:r>
        <w:t>東京地判昭</w:t>
      </w:r>
      <w:r>
        <w:t>39</w:t>
      </w:r>
      <w:r>
        <w:t>・</w:t>
      </w:r>
      <w:r>
        <w:t>5</w:t>
      </w:r>
      <w:r>
        <w:t>・</w:t>
      </w:r>
      <w:r>
        <w:t>2</w:t>
      </w:r>
      <w:r>
        <w:t>判タ</w:t>
      </w:r>
      <w:r>
        <w:t>162-149 ( 1964)</w:t>
      </w:r>
      <w:r>
        <w:t>．</w:t>
      </w:r>
    </w:p>
    <w:p w14:paraId="0000003B" w14:textId="77777777" w:rsidR="00C16829" w:rsidRDefault="00C16829"/>
    <w:p w14:paraId="0000003C" w14:textId="77777777" w:rsidR="00C16829" w:rsidRDefault="00000000">
      <w:r>
        <w:t>Brown v. Board of Education, 347 U.S. 483 (1954) [Brown I].</w:t>
      </w:r>
    </w:p>
    <w:p w14:paraId="0000003D" w14:textId="77777777" w:rsidR="00C16829" w:rsidRDefault="00000000">
      <w:r>
        <w:t>MacPherson v. Buick Motor Co., 217 N.Y. 382, 111 N.E. 1050 (1916).</w:t>
      </w:r>
    </w:p>
    <w:p w14:paraId="0000003E" w14:textId="77777777" w:rsidR="00C16829" w:rsidRDefault="00000000">
      <w:r>
        <w:t>United States v. Carolene Products Co., 304 U.S. 144 (1938).</w:t>
      </w:r>
    </w:p>
    <w:p w14:paraId="0000003F" w14:textId="77777777" w:rsidR="00C16829" w:rsidRDefault="00C16829">
      <w:pPr>
        <w:ind w:left="211" w:hanging="211"/>
        <w:rPr>
          <w:b/>
        </w:rPr>
      </w:pPr>
    </w:p>
    <w:p w14:paraId="00000040" w14:textId="77777777" w:rsidR="00C16829" w:rsidRDefault="00000000">
      <w:pPr>
        <w:ind w:left="211" w:hanging="211"/>
        <w:rPr>
          <w:b/>
        </w:rPr>
      </w:pPr>
      <w:r>
        <w:rPr>
          <w:b/>
        </w:rPr>
        <w:t>参考文献</w:t>
      </w:r>
    </w:p>
    <w:p w14:paraId="00000041" w14:textId="77777777" w:rsidR="00C16829" w:rsidRDefault="00C16829"/>
    <w:p w14:paraId="00000042" w14:textId="77777777" w:rsidR="00C16829" w:rsidRDefault="00000000">
      <w:pPr>
        <w:ind w:left="210" w:hanging="210"/>
      </w:pPr>
      <w:r>
        <w:t>太田勝造</w:t>
      </w:r>
      <w:r>
        <w:t xml:space="preserve"> (2001)</w:t>
      </w:r>
      <w:r>
        <w:t>「消費者契約法制：善玉当事者と悪玉当事者」細江守紀・太田勝造編『法の経済分析：契約、企業、政策』勁草書房</w:t>
      </w:r>
      <w:r>
        <w:t>, 119-155</w:t>
      </w:r>
      <w:r>
        <w:t>．</w:t>
      </w:r>
    </w:p>
    <w:p w14:paraId="00000043" w14:textId="77777777" w:rsidR="00C16829" w:rsidRDefault="00000000">
      <w:pPr>
        <w:tabs>
          <w:tab w:val="left" w:pos="5250"/>
        </w:tabs>
        <w:ind w:left="210" w:hanging="210"/>
      </w:pPr>
      <w:r>
        <w:t>小林秀之・神田秀樹</w:t>
      </w:r>
      <w:r>
        <w:t xml:space="preserve"> (1986)</w:t>
      </w:r>
      <w:r>
        <w:t>『「法と経済学」入門』弘文堂</w:t>
      </w:r>
      <w:r>
        <w:t xml:space="preserve">. </w:t>
      </w:r>
    </w:p>
    <w:p w14:paraId="00000044" w14:textId="77777777" w:rsidR="00C16829" w:rsidRDefault="00000000">
      <w:pPr>
        <w:tabs>
          <w:tab w:val="left" w:pos="5250"/>
        </w:tabs>
        <w:ind w:left="210" w:hanging="210"/>
      </w:pPr>
      <w:r>
        <w:t>浜田宏一</w:t>
      </w:r>
      <w:r>
        <w:t xml:space="preserve"> (1977)</w:t>
      </w:r>
      <w:r>
        <w:t>『損害賠償の経済分析』東京大学出版会</w:t>
      </w:r>
      <w:r>
        <w:t xml:space="preserve">. </w:t>
      </w:r>
    </w:p>
    <w:p w14:paraId="00000045" w14:textId="77777777" w:rsidR="00C16829" w:rsidRDefault="00000000">
      <w:pPr>
        <w:ind w:left="210" w:hanging="210"/>
      </w:pPr>
      <w:r>
        <w:t>ラムザイヤー，</w:t>
      </w:r>
      <w:r>
        <w:t>J. M. (1990)</w:t>
      </w:r>
      <w:r>
        <w:t>『法と経済学：日本法の経済分析』弘文堂．</w:t>
      </w:r>
    </w:p>
    <w:p w14:paraId="00000046" w14:textId="77777777" w:rsidR="00C16829" w:rsidRDefault="00C16829">
      <w:pPr>
        <w:ind w:left="210" w:hanging="210"/>
      </w:pPr>
    </w:p>
    <w:p w14:paraId="00000047" w14:textId="77777777" w:rsidR="00C16829" w:rsidRDefault="00000000">
      <w:pPr>
        <w:ind w:left="210" w:hanging="210"/>
      </w:pPr>
      <w:r>
        <w:t xml:space="preserve">Coase, R. H. (1988) “The Problem of Social Cost,” in R. H. Coase, </w:t>
      </w:r>
      <w:r>
        <w:rPr>
          <w:i/>
        </w:rPr>
        <w:t>The Firm</w:t>
      </w:r>
      <w:r>
        <w:t>,</w:t>
      </w:r>
      <w:r>
        <w:rPr>
          <w:i/>
        </w:rPr>
        <w:t xml:space="preserve"> the Market</w:t>
      </w:r>
      <w:r>
        <w:t xml:space="preserve">, </w:t>
      </w:r>
      <w:r>
        <w:rPr>
          <w:i/>
        </w:rPr>
        <w:t>and the Law</w:t>
      </w:r>
      <w:r>
        <w:t>, Chicago: University of Chicago Press, 95-156. (</w:t>
      </w:r>
      <w:r>
        <w:t>藤垣芳文訳「社会的費用の問題」宮沢健一・後藤晃・藤垣芳文訳『企業・市場・法』東洋経済新報社，</w:t>
      </w:r>
      <w:r>
        <w:t>1992</w:t>
      </w:r>
      <w:r>
        <w:t>年，</w:t>
      </w:r>
      <w:r>
        <w:t xml:space="preserve"> 111-178</w:t>
      </w:r>
      <w:r>
        <w:t>，新澤秀則訳「社会的費用の問題」松浦好治編訳『「法と経済学」の原点』木鐸社，</w:t>
      </w:r>
      <w:r>
        <w:t>1994</w:t>
      </w:r>
      <w:r>
        <w:t>年，</w:t>
      </w:r>
      <w:r>
        <w:t>11-73</w:t>
      </w:r>
      <w:r>
        <w:t>．</w:t>
      </w:r>
      <w:r>
        <w:t xml:space="preserve">) </w:t>
      </w:r>
    </w:p>
    <w:p w14:paraId="00000048" w14:textId="77777777" w:rsidR="00C16829" w:rsidRDefault="00000000">
      <w:pPr>
        <w:ind w:left="210" w:hanging="210"/>
      </w:pPr>
      <w:r>
        <w:t xml:space="preserve">Easterbrook, F. H. and D. R. Fischel (1989) “The Corporate Contract,” </w:t>
      </w:r>
      <w:r>
        <w:rPr>
          <w:i/>
        </w:rPr>
        <w:t>Columbia Law Review</w:t>
      </w:r>
      <w:r>
        <w:t xml:space="preserve"> 89-7, 1416-1448. </w:t>
      </w:r>
    </w:p>
    <w:p w14:paraId="00000049" w14:textId="77777777" w:rsidR="00C16829" w:rsidRDefault="00000000">
      <w:pPr>
        <w:ind w:left="210" w:hanging="210"/>
      </w:pPr>
      <w:r>
        <w:t xml:space="preserve">Jolls, C., C. R. Sunstein, and R. H. Thaler (2000) “A Behavioral Approach to Law and Economics,” in C. R. Sunstein ed., </w:t>
      </w:r>
      <w:r>
        <w:rPr>
          <w:i/>
        </w:rPr>
        <w:t>Behavioral Law and Economics</w:t>
      </w:r>
      <w:r>
        <w:t>, Cambridge: Cambridge University Press, 13-58.</w:t>
      </w:r>
    </w:p>
    <w:p w14:paraId="0000004A" w14:textId="77777777" w:rsidR="00C16829" w:rsidRDefault="00000000">
      <w:pPr>
        <w:widowControl/>
        <w:spacing w:line="300" w:lineRule="auto"/>
        <w:jc w:val="left"/>
        <w:rPr>
          <w:rFonts w:ascii="Times New Roman" w:eastAsia="Times New Roman" w:hAnsi="Times New Roman" w:cs="Times New Roman"/>
          <w:b/>
          <w:color w:val="336633"/>
          <w:sz w:val="40"/>
          <w:szCs w:val="40"/>
        </w:rPr>
      </w:pPr>
      <w:r>
        <w:t xml:space="preserve">Posner, R. A. (1992) </w:t>
      </w:r>
      <w:r>
        <w:rPr>
          <w:i/>
        </w:rPr>
        <w:t>Economic Analysis of Law</w:t>
      </w:r>
      <w:r>
        <w:t>, 4</w:t>
      </w:r>
      <w:r>
        <w:rPr>
          <w:vertAlign w:val="superscript"/>
        </w:rPr>
        <w:t>th</w:t>
      </w:r>
      <w:r>
        <w:t xml:space="preserve"> ed., Boston: Little, Brown and Co. </w:t>
      </w:r>
    </w:p>
    <w:sectPr w:rsidR="00C16829">
      <w:footerReference w:type="default" r:id="rId7"/>
      <w:pgSz w:w="11906" w:h="16838"/>
      <w:pgMar w:top="1134" w:right="1134" w:bottom="1134" w:left="1134" w:header="851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09A2B" w14:textId="77777777" w:rsidR="00831A75" w:rsidRDefault="00831A75">
      <w:r>
        <w:separator/>
      </w:r>
    </w:p>
  </w:endnote>
  <w:endnote w:type="continuationSeparator" w:id="0">
    <w:p w14:paraId="020CEB06" w14:textId="77777777" w:rsidR="00831A75" w:rsidRDefault="0083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D" w14:textId="67B858C9" w:rsidR="00C1682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4"/>
      </w:rPr>
    </w:pPr>
    <w:r>
      <w:rPr>
        <w:color w:val="000000"/>
        <w:sz w:val="24"/>
      </w:rPr>
      <w:fldChar w:fldCharType="begin"/>
    </w:r>
    <w:r>
      <w:rPr>
        <w:rFonts w:eastAsia="Century"/>
        <w:color w:val="000000"/>
        <w:sz w:val="24"/>
      </w:rPr>
      <w:instrText>PAGE</w:instrText>
    </w:r>
    <w:r>
      <w:rPr>
        <w:color w:val="000000"/>
        <w:sz w:val="24"/>
      </w:rPr>
      <w:fldChar w:fldCharType="separate"/>
    </w:r>
    <w:r w:rsidR="00B25638">
      <w:rPr>
        <w:rFonts w:eastAsia="Century"/>
        <w:noProof/>
        <w:color w:val="000000"/>
        <w:sz w:val="24"/>
      </w:rPr>
      <w:t>1</w:t>
    </w:r>
    <w:r>
      <w:rPr>
        <w:color w:val="000000"/>
        <w:sz w:val="24"/>
      </w:rPr>
      <w:fldChar w:fldCharType="end"/>
    </w:r>
  </w:p>
  <w:p w14:paraId="0000004E" w14:textId="77777777" w:rsidR="00C16829" w:rsidRDefault="00C168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AC260" w14:textId="77777777" w:rsidR="00831A75" w:rsidRDefault="00831A75">
      <w:r>
        <w:separator/>
      </w:r>
    </w:p>
  </w:footnote>
  <w:footnote w:type="continuationSeparator" w:id="0">
    <w:p w14:paraId="01FCE1CA" w14:textId="77777777" w:rsidR="00831A75" w:rsidRDefault="00831A75">
      <w:r>
        <w:continuationSeparator/>
      </w:r>
    </w:p>
  </w:footnote>
  <w:footnote w:id="1">
    <w:p w14:paraId="0000004B" w14:textId="77777777" w:rsidR="00C16829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sdt>
        <w:sdtPr>
          <w:tag w:val="goog_rdk_0"/>
          <w:id w:val="289322823"/>
        </w:sdtPr>
        <w:sdtContent>
          <w:r>
            <w:rPr>
              <w:rFonts w:ascii="Gungsuh" w:eastAsia="Gungsuh" w:hAnsi="Gungsuh" w:cs="Gungsuh"/>
              <w:color w:val="000000"/>
              <w:sz w:val="18"/>
              <w:szCs w:val="18"/>
            </w:rPr>
            <w:t xml:space="preserve">  脚注は、9.0pt、行間：固定値、間隔12ptで記入する．</w:t>
          </w:r>
        </w:sdtContent>
      </w:sdt>
    </w:p>
  </w:footnote>
  <w:footnote w:id="2">
    <w:p w14:paraId="0000004C" w14:textId="77777777" w:rsidR="00C16829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sdt>
        <w:sdtPr>
          <w:tag w:val="goog_rdk_1"/>
          <w:id w:val="1937015396"/>
        </w:sdtPr>
        <w:sdtContent>
          <w:r>
            <w:rPr>
              <w:rFonts w:ascii="Gungsuh" w:eastAsia="Gungsuh" w:hAnsi="Gungsuh" w:cs="Gungsuh"/>
              <w:color w:val="000000"/>
              <w:sz w:val="18"/>
              <w:szCs w:val="18"/>
            </w:rPr>
            <w:t xml:space="preserve">たとえば，Coase (1988) </w:t>
          </w:r>
          <w:r>
            <w:rPr>
              <w:rFonts w:ascii="Gungsuh" w:eastAsia="Gungsuh" w:hAnsi="Gungsuh" w:cs="Gungsuh"/>
              <w:color w:val="000000"/>
              <w:sz w:val="18"/>
              <w:szCs w:val="18"/>
            </w:rPr>
            <w:t>を見よなどのように．</w:t>
          </w:r>
        </w:sdtContent>
      </w:sdt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829"/>
    <w:rsid w:val="004875D2"/>
    <w:rsid w:val="00831A75"/>
    <w:rsid w:val="00B25638"/>
    <w:rsid w:val="00C1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C4EA980-BF9A-469C-8FF6-DB3E294F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84E"/>
    <w:rPr>
      <w:kern w:val="2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強調"/>
    <w:basedOn w:val="a0"/>
    <w:uiPriority w:val="1"/>
    <w:qFormat/>
    <w:rsid w:val="0016684E"/>
    <w:rPr>
      <w:rFonts w:ascii="HG丸ｺﾞｼｯｸM-PRO" w:eastAsia="HG丸ｺﾞｼｯｸM-PRO" w:hAnsi="ＭＳ 明朝"/>
      <w:b/>
      <w:sz w:val="24"/>
      <w:u w:val="wave"/>
    </w:rPr>
  </w:style>
  <w:style w:type="paragraph" w:styleId="a5">
    <w:name w:val="No Spacing"/>
    <w:uiPriority w:val="1"/>
    <w:qFormat/>
    <w:rsid w:val="0016684E"/>
    <w:rPr>
      <w:kern w:val="2"/>
      <w:szCs w:val="24"/>
    </w:rPr>
  </w:style>
  <w:style w:type="paragraph" w:styleId="a6">
    <w:name w:val="header"/>
    <w:basedOn w:val="a"/>
    <w:link w:val="a7"/>
    <w:uiPriority w:val="99"/>
    <w:unhideWhenUsed/>
    <w:rsid w:val="001C38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386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C38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3863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656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656F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714E9F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714E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36633"/>
      <w:kern w:val="0"/>
      <w:sz w:val="24"/>
    </w:rPr>
  </w:style>
  <w:style w:type="character" w:styleId="ad">
    <w:name w:val="Strong"/>
    <w:basedOn w:val="a0"/>
    <w:uiPriority w:val="22"/>
    <w:qFormat/>
    <w:rsid w:val="00714E9F"/>
    <w:rPr>
      <w:b/>
      <w:bCs/>
    </w:rPr>
  </w:style>
  <w:style w:type="table" w:styleId="ae">
    <w:name w:val="Table Grid"/>
    <w:basedOn w:val="a1"/>
    <w:uiPriority w:val="39"/>
    <w:rsid w:val="007A0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FE324A"/>
    <w:rPr>
      <w:color w:val="605E5C"/>
      <w:shd w:val="clear" w:color="auto" w:fill="E1DFDD"/>
    </w:rPr>
  </w:style>
  <w:style w:type="paragraph" w:styleId="af">
    <w:name w:val="footnote text"/>
    <w:basedOn w:val="a"/>
    <w:link w:val="af0"/>
    <w:semiHidden/>
    <w:rsid w:val="001560AE"/>
    <w:pPr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  <w:sz w:val="20"/>
      <w:szCs w:val="20"/>
    </w:rPr>
  </w:style>
  <w:style w:type="character" w:customStyle="1" w:styleId="af0">
    <w:name w:val="脚注文字列 (文字)"/>
    <w:basedOn w:val="a0"/>
    <w:link w:val="af"/>
    <w:semiHidden/>
    <w:rsid w:val="001560AE"/>
    <w:rPr>
      <w:rFonts w:ascii="Times New Roman" w:hAnsi="Times New Roman"/>
      <w:color w:val="000000"/>
    </w:rPr>
  </w:style>
  <w:style w:type="character" w:styleId="af1">
    <w:name w:val="footnote reference"/>
    <w:semiHidden/>
    <w:rsid w:val="001560AE"/>
    <w:rPr>
      <w:vertAlign w:val="superscript"/>
    </w:rPr>
  </w:style>
  <w:style w:type="character" w:styleId="af2">
    <w:name w:val="FollowedHyperlink"/>
    <w:basedOn w:val="a0"/>
    <w:uiPriority w:val="99"/>
    <w:semiHidden/>
    <w:unhideWhenUsed/>
    <w:rsid w:val="00624D5B"/>
    <w:rPr>
      <w:color w:val="800080" w:themeColor="followedHyperlink"/>
      <w:u w:val="single"/>
    </w:r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P60siMiwsuzu4IPRDexV20rdrg==">CgMxLjAaJQoBMBIgCh4IB0IaCg9UaW1lcyBOZXcgUm9tYW4SB0d1bmdzdWgaJQoBMRIgCh4IB0IaCg9UaW1lcyBOZXcgUm9tYW4SB0d1bmdzdWgyCGguZ2pkZ3hzOAByITE1ZFhDbnRFY0ZVSkxsVFRickM0ZVZpdGxaYUFvY2xxaA==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sato0507</dc:creator>
  <cp:lastModifiedBy>hiro kaneko</cp:lastModifiedBy>
  <cp:revision>2</cp:revision>
  <dcterms:created xsi:type="dcterms:W3CDTF">2025-05-07T16:13:00Z</dcterms:created>
  <dcterms:modified xsi:type="dcterms:W3CDTF">2025-05-07T16:13:00Z</dcterms:modified>
</cp:coreProperties>
</file>